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19" w:rsidRDefault="004E6919" w:rsidP="004E6919">
      <w:pPr>
        <w:spacing w:after="300" w:line="240" w:lineRule="auto"/>
        <w:outlineLvl w:val="0"/>
        <w:rPr>
          <w:rFonts w:ascii="Tahoma" w:eastAsia="Times New Roman" w:hAnsi="Tahoma" w:cs="Tahoma"/>
          <w:b/>
          <w:bCs/>
          <w:color w:val="003C80"/>
          <w:kern w:val="36"/>
          <w:sz w:val="27"/>
          <w:szCs w:val="27"/>
          <w:lang w:eastAsia="ru-RU"/>
        </w:rPr>
      </w:pPr>
      <w:r>
        <w:rPr>
          <w:rFonts w:ascii="Tahoma" w:eastAsia="Times New Roman" w:hAnsi="Tahoma" w:cs="Tahoma"/>
          <w:b/>
          <w:bCs/>
          <w:color w:val="003C80"/>
          <w:kern w:val="36"/>
          <w:sz w:val="27"/>
          <w:szCs w:val="27"/>
          <w:lang w:eastAsia="ru-RU"/>
        </w:rPr>
        <w:t>Е</w:t>
      </w:r>
      <w:r w:rsidRPr="004E6919">
        <w:rPr>
          <w:rFonts w:ascii="Tahoma" w:eastAsia="Times New Roman" w:hAnsi="Tahoma" w:cs="Tahoma"/>
          <w:b/>
          <w:bCs/>
          <w:color w:val="003C80"/>
          <w:kern w:val="36"/>
          <w:sz w:val="27"/>
          <w:szCs w:val="27"/>
          <w:lang w:eastAsia="ru-RU"/>
        </w:rPr>
        <w:t>дин</w:t>
      </w:r>
      <w:r>
        <w:rPr>
          <w:rFonts w:ascii="Tahoma" w:eastAsia="Times New Roman" w:hAnsi="Tahoma" w:cs="Tahoma"/>
          <w:b/>
          <w:bCs/>
          <w:color w:val="003C80"/>
          <w:kern w:val="36"/>
          <w:sz w:val="27"/>
          <w:szCs w:val="27"/>
          <w:lang w:eastAsia="ru-RU"/>
        </w:rPr>
        <w:t>ый</w:t>
      </w:r>
      <w:r w:rsidRPr="004E6919">
        <w:rPr>
          <w:rFonts w:ascii="Tahoma" w:eastAsia="Times New Roman" w:hAnsi="Tahoma" w:cs="Tahoma"/>
          <w:b/>
          <w:bCs/>
          <w:color w:val="003C80"/>
          <w:kern w:val="36"/>
          <w:sz w:val="27"/>
          <w:szCs w:val="27"/>
          <w:lang w:eastAsia="ru-RU"/>
        </w:rPr>
        <w:t xml:space="preserve"> налог на вмененный доход</w:t>
      </w:r>
    </w:p>
    <w:p w:rsidR="004E6919" w:rsidRPr="004E6919" w:rsidRDefault="004E6919" w:rsidP="004E6919">
      <w:pPr>
        <w:spacing w:after="300" w:line="240" w:lineRule="auto"/>
        <w:outlineLvl w:val="0"/>
        <w:rPr>
          <w:rFonts w:ascii="Tahoma" w:eastAsia="Times New Roman" w:hAnsi="Tahoma" w:cs="Tahoma"/>
          <w:b/>
          <w:bCs/>
          <w:color w:val="003C80"/>
          <w:kern w:val="36"/>
          <w:sz w:val="27"/>
          <w:szCs w:val="27"/>
          <w:lang w:eastAsia="ru-RU"/>
        </w:rPr>
      </w:pPr>
      <w:bookmarkStart w:id="0" w:name="_GoBack"/>
      <w:r w:rsidRPr="004E6919">
        <w:rPr>
          <w:rFonts w:ascii="Tahoma" w:eastAsia="Times New Roman" w:hAnsi="Tahoma" w:cs="Tahoma"/>
          <w:b/>
          <w:bCs/>
          <w:color w:val="003C80"/>
          <w:kern w:val="36"/>
          <w:sz w:val="27"/>
          <w:szCs w:val="27"/>
          <w:lang w:eastAsia="ru-RU"/>
        </w:rPr>
        <w:t>Статья 346.26. Общие положения</w:t>
      </w:r>
    </w:p>
    <w:p w:rsidR="004E6919" w:rsidRPr="004E6919" w:rsidRDefault="004E6919" w:rsidP="004E6919">
      <w:pPr>
        <w:spacing w:after="0" w:line="240" w:lineRule="auto"/>
        <w:rPr>
          <w:rFonts w:ascii="Tahoma" w:eastAsia="Times New Roman" w:hAnsi="Tahoma" w:cs="Tahoma"/>
          <w:color w:val="333333"/>
          <w:sz w:val="18"/>
          <w:szCs w:val="18"/>
          <w:lang w:eastAsia="ru-RU"/>
        </w:rPr>
      </w:pPr>
      <w:bookmarkStart w:id="1" w:name="text"/>
      <w:bookmarkEnd w:id="1"/>
      <w:bookmarkEnd w:id="0"/>
      <w:r w:rsidRPr="004E6919">
        <w:rPr>
          <w:rFonts w:ascii="Tahoma" w:eastAsia="Times New Roman" w:hAnsi="Tahoma" w:cs="Tahoma"/>
          <w:b/>
          <w:bCs/>
          <w:color w:val="000080"/>
          <w:sz w:val="18"/>
          <w:szCs w:val="18"/>
          <w:lang w:eastAsia="ru-RU"/>
        </w:rPr>
        <w:t>Статья 346.26.</w:t>
      </w:r>
      <w:r w:rsidRPr="004E6919">
        <w:rPr>
          <w:rFonts w:ascii="Tahoma" w:eastAsia="Times New Roman" w:hAnsi="Tahoma" w:cs="Tahoma"/>
          <w:color w:val="333333"/>
          <w:sz w:val="18"/>
          <w:szCs w:val="18"/>
          <w:lang w:eastAsia="ru-RU"/>
        </w:rPr>
        <w:t> Общие положения</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 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Санкт-Петербурга и Севастополя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1.1. В городе федерального значения Москве система налогообложения в виде единого налога на вмененный доход для отдельных видов деятельности может быть </w:t>
      </w:r>
      <w:hyperlink r:id="rId4" w:history="1">
        <w:r w:rsidRPr="004E6919">
          <w:rPr>
            <w:rFonts w:ascii="Arial" w:eastAsia="Times New Roman" w:hAnsi="Arial" w:cs="Arial"/>
            <w:color w:val="336699"/>
            <w:sz w:val="18"/>
            <w:szCs w:val="18"/>
            <w:u w:val="single"/>
            <w:lang w:eastAsia="ru-RU"/>
          </w:rPr>
          <w:t>введена</w:t>
        </w:r>
      </w:hyperlink>
      <w:r w:rsidRPr="004E6919">
        <w:rPr>
          <w:rFonts w:ascii="Tahoma" w:eastAsia="Times New Roman" w:hAnsi="Tahoma" w:cs="Tahoma"/>
          <w:color w:val="333333"/>
          <w:sz w:val="18"/>
          <w:szCs w:val="18"/>
          <w:lang w:eastAsia="ru-RU"/>
        </w:rPr>
        <w:t> в действие на период до двух лет </w:t>
      </w:r>
      <w:hyperlink r:id="rId5" w:history="1">
        <w:r w:rsidRPr="004E6919">
          <w:rPr>
            <w:rFonts w:ascii="Arial" w:eastAsia="Times New Roman" w:hAnsi="Arial" w:cs="Arial"/>
            <w:color w:val="336699"/>
            <w:sz w:val="18"/>
            <w:szCs w:val="18"/>
            <w:u w:val="single"/>
            <w:lang w:eastAsia="ru-RU"/>
          </w:rPr>
          <w:t>со дня изменения</w:t>
        </w:r>
      </w:hyperlink>
      <w:r w:rsidRPr="004E6919">
        <w:rPr>
          <w:rFonts w:ascii="Tahoma" w:eastAsia="Times New Roman" w:hAnsi="Tahoma" w:cs="Tahoma"/>
          <w:color w:val="333333"/>
          <w:sz w:val="18"/>
          <w:szCs w:val="18"/>
          <w:lang w:eastAsia="ru-RU"/>
        </w:rPr>
        <w:t> границ города федерального значения Москвы в отдельных муниципальных образованиях, включенных в состав внутригородской территории города федерального значения Москвы в результате изменения его границ, в случае, если на день их изменения указанная система налогообложения действовала в таких муниципальных образованиях на основании нормативных правовых актов представительных органов муниципальных районов, городских округов.</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hyperlink r:id="rId6" w:history="1">
        <w:r w:rsidRPr="004E6919">
          <w:rPr>
            <w:rFonts w:ascii="Arial" w:eastAsia="Times New Roman" w:hAnsi="Arial" w:cs="Arial"/>
            <w:color w:val="336699"/>
            <w:sz w:val="18"/>
            <w:szCs w:val="18"/>
            <w:u w:val="single"/>
            <w:lang w:eastAsia="ru-RU"/>
          </w:rPr>
          <w:t>2.</w:t>
        </w:r>
      </w:hyperlink>
      <w:r w:rsidRPr="004E6919">
        <w:rPr>
          <w:rFonts w:ascii="Tahoma" w:eastAsia="Times New Roman" w:hAnsi="Tahoma" w:cs="Tahoma"/>
          <w:color w:val="333333"/>
          <w:sz w:val="18"/>
          <w:szCs w:val="18"/>
          <w:lang w:eastAsia="ru-RU"/>
        </w:rPr>
        <w:t> Система налогообложения в виде единого налога на вмененный доход для отдельных видов деятельности (далее в настоящей главе - единый налог)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Санкт-Петербурга и Севастополя в отношении следующих видов предпринимательской деятельности: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 оказания бытовых услуг. </w:t>
      </w:r>
      <w:hyperlink r:id="rId7" w:anchor="block_1000" w:history="1">
        <w:r w:rsidRPr="004E6919">
          <w:rPr>
            <w:rFonts w:ascii="Arial" w:eastAsia="Times New Roman" w:hAnsi="Arial" w:cs="Arial"/>
            <w:color w:val="336699"/>
            <w:sz w:val="18"/>
            <w:szCs w:val="18"/>
            <w:u w:val="single"/>
            <w:lang w:eastAsia="ru-RU"/>
          </w:rPr>
          <w:t>Коды видов</w:t>
        </w:r>
      </w:hyperlink>
      <w:r w:rsidRPr="004E6919">
        <w:rPr>
          <w:rFonts w:ascii="Tahoma" w:eastAsia="Times New Roman" w:hAnsi="Tahoma" w:cs="Tahoma"/>
          <w:color w:val="333333"/>
          <w:sz w:val="18"/>
          <w:szCs w:val="18"/>
          <w:lang w:eastAsia="ru-RU"/>
        </w:rPr>
        <w:t> деятельности в соответствии с </w:t>
      </w:r>
      <w:hyperlink r:id="rId8" w:history="1">
        <w:r w:rsidRPr="004E6919">
          <w:rPr>
            <w:rFonts w:ascii="Arial" w:eastAsia="Times New Roman" w:hAnsi="Arial" w:cs="Arial"/>
            <w:color w:val="336699"/>
            <w:sz w:val="18"/>
            <w:szCs w:val="18"/>
            <w:u w:val="single"/>
            <w:lang w:eastAsia="ru-RU"/>
          </w:rPr>
          <w:t>Общероссийским классификатором</w:t>
        </w:r>
      </w:hyperlink>
      <w:r w:rsidRPr="004E6919">
        <w:rPr>
          <w:rFonts w:ascii="Tahoma" w:eastAsia="Times New Roman" w:hAnsi="Tahoma" w:cs="Tahoma"/>
          <w:color w:val="333333"/>
          <w:sz w:val="18"/>
          <w:szCs w:val="18"/>
          <w:lang w:eastAsia="ru-RU"/>
        </w:rPr>
        <w:t> видов экономической деятельности и </w:t>
      </w:r>
      <w:hyperlink r:id="rId9" w:anchor="block_2000" w:history="1">
        <w:r w:rsidRPr="004E6919">
          <w:rPr>
            <w:rFonts w:ascii="Arial" w:eastAsia="Times New Roman" w:hAnsi="Arial" w:cs="Arial"/>
            <w:color w:val="336699"/>
            <w:sz w:val="18"/>
            <w:szCs w:val="18"/>
            <w:u w:val="single"/>
            <w:lang w:eastAsia="ru-RU"/>
          </w:rPr>
          <w:t>коды услуг</w:t>
        </w:r>
      </w:hyperlink>
      <w:r w:rsidRPr="004E6919">
        <w:rPr>
          <w:rFonts w:ascii="Tahoma" w:eastAsia="Times New Roman" w:hAnsi="Tahoma" w:cs="Tahoma"/>
          <w:color w:val="333333"/>
          <w:sz w:val="18"/>
          <w:szCs w:val="18"/>
          <w:lang w:eastAsia="ru-RU"/>
        </w:rPr>
        <w:t> в соответствии с </w:t>
      </w:r>
      <w:hyperlink r:id="rId10" w:history="1">
        <w:r w:rsidRPr="004E6919">
          <w:rPr>
            <w:rFonts w:ascii="Arial" w:eastAsia="Times New Roman" w:hAnsi="Arial" w:cs="Arial"/>
            <w:color w:val="336699"/>
            <w:sz w:val="18"/>
            <w:szCs w:val="18"/>
            <w:u w:val="single"/>
            <w:lang w:eastAsia="ru-RU"/>
          </w:rPr>
          <w:t>Общероссийским классификатором</w:t>
        </w:r>
      </w:hyperlink>
      <w:r w:rsidRPr="004E6919">
        <w:rPr>
          <w:rFonts w:ascii="Tahoma" w:eastAsia="Times New Roman" w:hAnsi="Tahoma" w:cs="Tahoma"/>
          <w:color w:val="333333"/>
          <w:sz w:val="18"/>
          <w:szCs w:val="18"/>
          <w:lang w:eastAsia="ru-RU"/>
        </w:rPr>
        <w:t> продукции по видам экономической деятельности, относящихся к бытовым услугам, определяются Правительством Российской Федерации;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 оказания </w:t>
      </w:r>
      <w:hyperlink r:id="rId11" w:anchor="block_3462708" w:history="1">
        <w:r w:rsidRPr="004E6919">
          <w:rPr>
            <w:rFonts w:ascii="Arial" w:eastAsia="Times New Roman" w:hAnsi="Arial" w:cs="Arial"/>
            <w:color w:val="336699"/>
            <w:sz w:val="18"/>
            <w:szCs w:val="18"/>
            <w:u w:val="single"/>
            <w:lang w:eastAsia="ru-RU"/>
          </w:rPr>
          <w:t>ветеринарных услуг</w:t>
        </w:r>
      </w:hyperlink>
      <w:r w:rsidRPr="004E6919">
        <w:rPr>
          <w:rFonts w:ascii="Tahoma" w:eastAsia="Times New Roman" w:hAnsi="Tahoma" w:cs="Tahoma"/>
          <w:color w:val="333333"/>
          <w:sz w:val="18"/>
          <w:szCs w:val="18"/>
          <w:lang w:eastAsia="ru-RU"/>
        </w:rPr>
        <w:t>;</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3) оказания </w:t>
      </w:r>
      <w:hyperlink r:id="rId12" w:anchor="block_3462709" w:history="1">
        <w:r w:rsidRPr="004E6919">
          <w:rPr>
            <w:rFonts w:ascii="Arial" w:eastAsia="Times New Roman" w:hAnsi="Arial" w:cs="Arial"/>
            <w:color w:val="336699"/>
            <w:sz w:val="18"/>
            <w:szCs w:val="18"/>
            <w:u w:val="single"/>
            <w:lang w:eastAsia="ru-RU"/>
          </w:rPr>
          <w:t>услуг по ремонту, техническому обслуживанию и мойке автомототранспортных средств</w:t>
        </w:r>
      </w:hyperlink>
      <w:r w:rsidRPr="004E6919">
        <w:rPr>
          <w:rFonts w:ascii="Tahoma" w:eastAsia="Times New Roman" w:hAnsi="Tahoma" w:cs="Tahoma"/>
          <w:color w:val="333333"/>
          <w:sz w:val="18"/>
          <w:szCs w:val="18"/>
          <w:lang w:eastAsia="ru-RU"/>
        </w:rPr>
        <w:t>;</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w:t>
      </w:r>
      <w:hyperlink r:id="rId13" w:anchor="block_3443421" w:history="1">
        <w:r w:rsidRPr="004E6919">
          <w:rPr>
            <w:rFonts w:ascii="Arial" w:eastAsia="Times New Roman" w:hAnsi="Arial" w:cs="Arial"/>
            <w:color w:val="336699"/>
            <w:sz w:val="18"/>
            <w:szCs w:val="18"/>
            <w:u w:val="single"/>
            <w:lang w:eastAsia="ru-RU"/>
          </w:rPr>
          <w:t>платных стоянках</w:t>
        </w:r>
      </w:hyperlink>
      <w:r w:rsidRPr="004E6919">
        <w:rPr>
          <w:rFonts w:ascii="Tahoma" w:eastAsia="Times New Roman" w:hAnsi="Tahoma" w:cs="Tahoma"/>
          <w:color w:val="333333"/>
          <w:sz w:val="18"/>
          <w:szCs w:val="18"/>
          <w:lang w:eastAsia="ru-RU"/>
        </w:rPr>
        <w:t> (за исключением штрафных автостоянок);</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4.1) </w:t>
      </w:r>
      <w:hyperlink r:id="rId14" w:anchor="block_113023" w:history="1">
        <w:r w:rsidRPr="004E6919">
          <w:rPr>
            <w:rFonts w:ascii="Arial" w:eastAsia="Times New Roman" w:hAnsi="Arial" w:cs="Arial"/>
            <w:color w:val="336699"/>
            <w:sz w:val="18"/>
            <w:szCs w:val="18"/>
            <w:u w:val="single"/>
            <w:lang w:eastAsia="ru-RU"/>
          </w:rPr>
          <w:t>утратил силу</w:t>
        </w:r>
      </w:hyperlink>
      <w:r w:rsidRPr="004E6919">
        <w:rPr>
          <w:rFonts w:ascii="Tahoma" w:eastAsia="Times New Roman" w:hAnsi="Tahoma" w:cs="Tahoma"/>
          <w:color w:val="333333"/>
          <w:sz w:val="18"/>
          <w:szCs w:val="18"/>
          <w:lang w:eastAsia="ru-RU"/>
        </w:rPr>
        <w:t> с 1 января 2006 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6) </w:t>
      </w:r>
      <w:hyperlink r:id="rId15" w:anchor="block_346278" w:history="1">
        <w:r w:rsidRPr="004E6919">
          <w:rPr>
            <w:rFonts w:ascii="Arial" w:eastAsia="Times New Roman" w:hAnsi="Arial" w:cs="Arial"/>
            <w:color w:val="336699"/>
            <w:sz w:val="18"/>
            <w:szCs w:val="18"/>
            <w:u w:val="single"/>
            <w:lang w:eastAsia="ru-RU"/>
          </w:rPr>
          <w:t>розничной торговли</w:t>
        </w:r>
      </w:hyperlink>
      <w:r w:rsidRPr="004E6919">
        <w:rPr>
          <w:rFonts w:ascii="Tahoma" w:eastAsia="Times New Roman" w:hAnsi="Tahoma" w:cs="Tahoma"/>
          <w:color w:val="333333"/>
          <w:sz w:val="18"/>
          <w:szCs w:val="18"/>
          <w:lang w:eastAsia="ru-RU"/>
        </w:rPr>
        <w:t>,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8) оказания </w:t>
      </w:r>
      <w:hyperlink r:id="rId16" w:anchor="block_3443419" w:history="1">
        <w:r w:rsidRPr="004E6919">
          <w:rPr>
            <w:rFonts w:ascii="Arial" w:eastAsia="Times New Roman" w:hAnsi="Arial" w:cs="Arial"/>
            <w:color w:val="336699"/>
            <w:sz w:val="18"/>
            <w:szCs w:val="18"/>
            <w:u w:val="single"/>
            <w:lang w:eastAsia="ru-RU"/>
          </w:rPr>
          <w:t>услуг общественного питания</w:t>
        </w:r>
      </w:hyperlink>
      <w:r w:rsidRPr="004E6919">
        <w:rPr>
          <w:rFonts w:ascii="Tahoma" w:eastAsia="Times New Roman" w:hAnsi="Tahoma" w:cs="Tahoma"/>
          <w:color w:val="333333"/>
          <w:sz w:val="18"/>
          <w:szCs w:val="18"/>
          <w:lang w:eastAsia="ru-RU"/>
        </w:rPr>
        <w:t>,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10) </w:t>
      </w:r>
      <w:hyperlink r:id="rId17" w:anchor="block_3443424" w:history="1">
        <w:r w:rsidRPr="004E6919">
          <w:rPr>
            <w:rFonts w:ascii="Arial" w:eastAsia="Times New Roman" w:hAnsi="Arial" w:cs="Arial"/>
            <w:color w:val="336699"/>
            <w:sz w:val="18"/>
            <w:szCs w:val="18"/>
            <w:u w:val="single"/>
            <w:lang w:eastAsia="ru-RU"/>
          </w:rPr>
          <w:t>распространения наружной рекламы</w:t>
        </w:r>
      </w:hyperlink>
      <w:r w:rsidRPr="004E6919">
        <w:rPr>
          <w:rFonts w:ascii="Tahoma" w:eastAsia="Times New Roman" w:hAnsi="Tahoma" w:cs="Tahoma"/>
          <w:color w:val="333333"/>
          <w:sz w:val="18"/>
          <w:szCs w:val="18"/>
          <w:lang w:eastAsia="ru-RU"/>
        </w:rPr>
        <w:t> с использованием рекламных конструкций;</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11) размещения рекламы с использованием внешних и внутренних поверхностей транспортных средств;</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12) оказания услуг по временному размещению и проживанию организациями и предпринимателями, использующими в каждом </w:t>
      </w:r>
      <w:hyperlink r:id="rId18" w:anchor="block_3443428" w:history="1">
        <w:r w:rsidRPr="004E6919">
          <w:rPr>
            <w:rFonts w:ascii="Arial" w:eastAsia="Times New Roman" w:hAnsi="Arial" w:cs="Arial"/>
            <w:color w:val="336699"/>
            <w:sz w:val="18"/>
            <w:szCs w:val="18"/>
            <w:u w:val="single"/>
            <w:lang w:eastAsia="ru-RU"/>
          </w:rPr>
          <w:t>объекте</w:t>
        </w:r>
      </w:hyperlink>
      <w:r w:rsidRPr="004E6919">
        <w:rPr>
          <w:rFonts w:ascii="Tahoma" w:eastAsia="Times New Roman" w:hAnsi="Tahoma" w:cs="Tahoma"/>
          <w:color w:val="333333"/>
          <w:sz w:val="18"/>
          <w:szCs w:val="18"/>
          <w:lang w:eastAsia="ru-RU"/>
        </w:rPr>
        <w:t> предоставления данных услуг общую площадь помещений для временного размещения и проживания не более 500 квадратных метров;</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hyperlink r:id="rId19" w:history="1">
        <w:r w:rsidRPr="004E6919">
          <w:rPr>
            <w:rFonts w:ascii="Arial" w:eastAsia="Times New Roman" w:hAnsi="Arial" w:cs="Arial"/>
            <w:color w:val="336699"/>
            <w:sz w:val="18"/>
            <w:szCs w:val="18"/>
            <w:u w:val="single"/>
            <w:lang w:eastAsia="ru-RU"/>
          </w:rPr>
          <w:t>13)</w:t>
        </w:r>
      </w:hyperlink>
      <w:r w:rsidRPr="004E6919">
        <w:rPr>
          <w:rFonts w:ascii="Tahoma" w:eastAsia="Times New Roman" w:hAnsi="Tahoma" w:cs="Tahoma"/>
          <w:color w:val="333333"/>
          <w:sz w:val="18"/>
          <w:szCs w:val="18"/>
          <w:lang w:eastAsia="ru-RU"/>
        </w:rPr>
        <w:t>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lastRenderedPageBreak/>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2.1. Единый налог не применяется в отношении видов предпринимательской деятельности, указанных в </w:t>
      </w:r>
      <w:hyperlink r:id="rId20" w:anchor="block_1004262" w:history="1">
        <w:r w:rsidRPr="004E6919">
          <w:rPr>
            <w:rFonts w:ascii="Arial" w:eastAsia="Times New Roman" w:hAnsi="Arial" w:cs="Arial"/>
            <w:color w:val="336699"/>
            <w:sz w:val="18"/>
            <w:szCs w:val="18"/>
            <w:u w:val="single"/>
            <w:lang w:eastAsia="ru-RU"/>
          </w:rPr>
          <w:t>пункте 2</w:t>
        </w:r>
      </w:hyperlink>
      <w:r w:rsidRPr="004E6919">
        <w:rPr>
          <w:rFonts w:ascii="Tahoma" w:eastAsia="Times New Roman" w:hAnsi="Tahoma" w:cs="Tahoma"/>
          <w:color w:val="333333"/>
          <w:sz w:val="18"/>
          <w:szCs w:val="18"/>
          <w:lang w:eastAsia="ru-RU"/>
        </w:rPr>
        <w:t> настоящей статьи, в следующих случаях:</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в случае осуществления таких видов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в случае осуществления таких видов деятельности налогоплательщиками, отнесенными к категории крупнейших в соответствии со </w:t>
      </w:r>
      <w:hyperlink r:id="rId21" w:anchor="block_83" w:history="1">
        <w:r w:rsidRPr="004E6919">
          <w:rPr>
            <w:rFonts w:ascii="Arial" w:eastAsia="Times New Roman" w:hAnsi="Arial" w:cs="Arial"/>
            <w:color w:val="336699"/>
            <w:sz w:val="18"/>
            <w:szCs w:val="18"/>
            <w:u w:val="single"/>
            <w:lang w:eastAsia="ru-RU"/>
          </w:rPr>
          <w:t>статьей 83</w:t>
        </w:r>
      </w:hyperlink>
      <w:r w:rsidRPr="004E6919">
        <w:rPr>
          <w:rFonts w:ascii="Tahoma" w:eastAsia="Times New Roman" w:hAnsi="Tahoma" w:cs="Tahoma"/>
          <w:color w:val="333333"/>
          <w:sz w:val="18"/>
          <w:szCs w:val="18"/>
          <w:lang w:eastAsia="ru-RU"/>
        </w:rPr>
        <w:t> настоящего Кодекса;</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в случае установления в муниципальном образовании (городе федерального значения Москве, Санкт-Петербурге или Севастополе) в соответствии с </w:t>
      </w:r>
      <w:hyperlink r:id="rId22" w:anchor="block_20033" w:history="1">
        <w:r w:rsidRPr="004E6919">
          <w:rPr>
            <w:rFonts w:ascii="Arial" w:eastAsia="Times New Roman" w:hAnsi="Arial" w:cs="Arial"/>
            <w:color w:val="336699"/>
            <w:sz w:val="18"/>
            <w:szCs w:val="18"/>
            <w:u w:val="single"/>
            <w:lang w:eastAsia="ru-RU"/>
          </w:rPr>
          <w:t>главой 33</w:t>
        </w:r>
      </w:hyperlink>
      <w:r w:rsidRPr="004E6919">
        <w:rPr>
          <w:rFonts w:ascii="Tahoma" w:eastAsia="Times New Roman" w:hAnsi="Tahoma" w:cs="Tahoma"/>
          <w:color w:val="333333"/>
          <w:sz w:val="18"/>
          <w:szCs w:val="18"/>
          <w:lang w:eastAsia="ru-RU"/>
        </w:rPr>
        <w:t> настоящего Кодекса торгового сбора в отношении таких видов деятельности.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Единый налог не применяется в отношении видов предпринимательской деятельности, указанных в </w:t>
      </w:r>
      <w:hyperlink r:id="rId23" w:anchor="block_346266" w:history="1">
        <w:r w:rsidRPr="004E6919">
          <w:rPr>
            <w:rFonts w:ascii="Arial" w:eastAsia="Times New Roman" w:hAnsi="Arial" w:cs="Arial"/>
            <w:color w:val="336699"/>
            <w:sz w:val="18"/>
            <w:szCs w:val="18"/>
            <w:u w:val="single"/>
            <w:lang w:eastAsia="ru-RU"/>
          </w:rPr>
          <w:t>подпунктах 6-9 пункта 2</w:t>
        </w:r>
      </w:hyperlink>
      <w:r w:rsidRPr="004E6919">
        <w:rPr>
          <w:rFonts w:ascii="Tahoma" w:eastAsia="Times New Roman" w:hAnsi="Tahoma" w:cs="Tahoma"/>
          <w:color w:val="333333"/>
          <w:sz w:val="18"/>
          <w:szCs w:val="18"/>
          <w:lang w:eastAsia="ru-RU"/>
        </w:rPr>
        <w:t> настоящей статьи, в случае, если они осуществляются организациями и индивидуальными предпринимателями, перешедшими в соответствии с </w:t>
      </w:r>
      <w:hyperlink r:id="rId24" w:anchor="block_200261" w:history="1">
        <w:r w:rsidRPr="004E6919">
          <w:rPr>
            <w:rFonts w:ascii="Arial" w:eastAsia="Times New Roman" w:hAnsi="Arial" w:cs="Arial"/>
            <w:color w:val="336699"/>
            <w:sz w:val="18"/>
            <w:szCs w:val="18"/>
            <w:u w:val="single"/>
            <w:lang w:eastAsia="ru-RU"/>
          </w:rPr>
          <w:t>главой 26.1</w:t>
        </w:r>
      </w:hyperlink>
      <w:r w:rsidRPr="004E6919">
        <w:rPr>
          <w:rFonts w:ascii="Tahoma" w:eastAsia="Times New Roman" w:hAnsi="Tahoma" w:cs="Tahoma"/>
          <w:color w:val="333333"/>
          <w:sz w:val="18"/>
          <w:szCs w:val="18"/>
          <w:lang w:eastAsia="ru-RU"/>
        </w:rPr>
        <w:t> настоящего Кодекса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2.2. На уплату единого налога не вправе переходить:</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 организации и индивидуальные предприниматели, средняя численность работников которых за предшествующий календарный год, определяемая в </w:t>
      </w:r>
      <w:hyperlink r:id="rId25" w:anchor="block_1075" w:history="1">
        <w:r w:rsidRPr="004E6919">
          <w:rPr>
            <w:rFonts w:ascii="Arial" w:eastAsia="Times New Roman" w:hAnsi="Arial" w:cs="Arial"/>
            <w:color w:val="336699"/>
            <w:sz w:val="18"/>
            <w:szCs w:val="18"/>
            <w:u w:val="single"/>
            <w:lang w:eastAsia="ru-RU"/>
          </w:rPr>
          <w:t>порядке</w:t>
        </w:r>
      </w:hyperlink>
      <w:r w:rsidRPr="004E6919">
        <w:rPr>
          <w:rFonts w:ascii="Tahoma" w:eastAsia="Times New Roman" w:hAnsi="Tahoma" w:cs="Tahoma"/>
          <w:color w:val="333333"/>
          <w:sz w:val="18"/>
          <w:szCs w:val="18"/>
          <w:lang w:eastAsia="ru-RU"/>
        </w:rPr>
        <w:t>, устанавливаемом федеральным органом исполнительной власти, уполномоченным в области статистики, превышает 100 человек.</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Положения настоящего подпункта не применяются в отношении организаций потребительской кооперации, осуществляющих свою деятельность в соответствии с </w:t>
      </w:r>
      <w:hyperlink r:id="rId26" w:history="1">
        <w:r w:rsidRPr="004E6919">
          <w:rPr>
            <w:rFonts w:ascii="Arial" w:eastAsia="Times New Roman" w:hAnsi="Arial" w:cs="Arial"/>
            <w:color w:val="336699"/>
            <w:sz w:val="18"/>
            <w:szCs w:val="18"/>
            <w:u w:val="single"/>
            <w:lang w:eastAsia="ru-RU"/>
          </w:rPr>
          <w:t>Законом</w:t>
        </w:r>
      </w:hyperlink>
      <w:r w:rsidRPr="004E6919">
        <w:rPr>
          <w:rFonts w:ascii="Tahoma" w:eastAsia="Times New Roman" w:hAnsi="Tahoma" w:cs="Tahoma"/>
          <w:color w:val="333333"/>
          <w:sz w:val="18"/>
          <w:szCs w:val="18"/>
          <w:lang w:eastAsia="ru-RU"/>
        </w:rPr>
        <w:t> Российской Федерации от 19 июня 1992 года N 3085-I "О потребительской кооперации (потребительских обществах, их союзах) в Российской Федерации", а также в отношении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w:t>
      </w:r>
      <w:hyperlink r:id="rId27" w:history="1">
        <w:r w:rsidRPr="004E6919">
          <w:rPr>
            <w:rFonts w:ascii="Arial" w:eastAsia="Times New Roman" w:hAnsi="Arial" w:cs="Arial"/>
            <w:color w:val="336699"/>
            <w:sz w:val="18"/>
            <w:szCs w:val="18"/>
            <w:u w:val="single"/>
            <w:lang w:eastAsia="ru-RU"/>
          </w:rPr>
          <w:t>Законом</w:t>
        </w:r>
      </w:hyperlink>
      <w:r w:rsidRPr="004E6919">
        <w:rPr>
          <w:rFonts w:ascii="Tahoma" w:eastAsia="Times New Roman" w:hAnsi="Tahoma" w:cs="Tahoma"/>
          <w:color w:val="333333"/>
          <w:sz w:val="18"/>
          <w:szCs w:val="18"/>
          <w:lang w:eastAsia="ru-RU"/>
        </w:rPr>
        <w:t> Российской Федерации от 19 июня 1992 года N 3085-I "О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w:t>
      </w:r>
      <w:hyperlink r:id="rId28" w:history="1">
        <w:r w:rsidRPr="004E6919">
          <w:rPr>
            <w:rFonts w:ascii="Arial" w:eastAsia="Times New Roman" w:hAnsi="Arial" w:cs="Arial"/>
            <w:color w:val="336699"/>
            <w:sz w:val="18"/>
            <w:szCs w:val="18"/>
            <w:u w:val="single"/>
            <w:lang w:eastAsia="ru-RU"/>
          </w:rPr>
          <w:t>Законом</w:t>
        </w:r>
      </w:hyperlink>
      <w:r w:rsidRPr="004E6919">
        <w:rPr>
          <w:rFonts w:ascii="Tahoma" w:eastAsia="Times New Roman" w:hAnsi="Tahoma" w:cs="Tahoma"/>
          <w:color w:val="333333"/>
          <w:sz w:val="18"/>
          <w:szCs w:val="18"/>
          <w:lang w:eastAsia="ru-RU"/>
        </w:rPr>
        <w:t>;</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3) </w:t>
      </w:r>
      <w:hyperlink r:id="rId29" w:anchor="block_34650226" w:history="1">
        <w:r w:rsidRPr="004E6919">
          <w:rPr>
            <w:rFonts w:ascii="Arial" w:eastAsia="Times New Roman" w:hAnsi="Arial" w:cs="Arial"/>
            <w:color w:val="336699"/>
            <w:sz w:val="18"/>
            <w:szCs w:val="18"/>
            <w:u w:val="single"/>
            <w:lang w:eastAsia="ru-RU"/>
          </w:rPr>
          <w:t>утратил силу</w:t>
        </w:r>
      </w:hyperlink>
      <w:r w:rsidRPr="004E6919">
        <w:rPr>
          <w:rFonts w:ascii="Tahoma" w:eastAsia="Times New Roman" w:hAnsi="Tahoma" w:cs="Tahoma"/>
          <w:color w:val="333333"/>
          <w:sz w:val="18"/>
          <w:szCs w:val="18"/>
          <w:lang w:eastAsia="ru-RU"/>
        </w:rPr>
        <w:t> с 1 января 2013 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4) образовательные организации, медицинские организации и организации социального обслуживания в части предпринимательской деятельности по оказанию услуг общественного питания, предусмотренной </w:t>
      </w:r>
      <w:hyperlink r:id="rId30" w:anchor="block_346268" w:history="1">
        <w:r w:rsidRPr="004E6919">
          <w:rPr>
            <w:rFonts w:ascii="Arial" w:eastAsia="Times New Roman" w:hAnsi="Arial" w:cs="Arial"/>
            <w:color w:val="336699"/>
            <w:sz w:val="18"/>
            <w:szCs w:val="18"/>
            <w:u w:val="single"/>
            <w:lang w:eastAsia="ru-RU"/>
          </w:rPr>
          <w:t>подпунктом 8 пункта 2</w:t>
        </w:r>
      </w:hyperlink>
      <w:r w:rsidRPr="004E6919">
        <w:rPr>
          <w:rFonts w:ascii="Tahoma" w:eastAsia="Times New Roman" w:hAnsi="Tahoma" w:cs="Tahoma"/>
          <w:color w:val="333333"/>
          <w:sz w:val="18"/>
          <w:szCs w:val="18"/>
          <w:lang w:eastAsia="ru-RU"/>
        </w:rPr>
        <w:t> настоящей статьи, если оказание услуг общественного питания является неотъемлемой частью процесса функционирования указанных организаций и эти услуги оказываются непосредственно указанными организациями;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5) организации и индивидуальные предприниматели, осуществляющие виды предпринимательской деятельности, указанные в </w:t>
      </w:r>
      <w:hyperlink r:id="rId31" w:anchor="block_3462613" w:history="1">
        <w:r w:rsidRPr="004E6919">
          <w:rPr>
            <w:rFonts w:ascii="Arial" w:eastAsia="Times New Roman" w:hAnsi="Arial" w:cs="Arial"/>
            <w:color w:val="336699"/>
            <w:sz w:val="18"/>
            <w:szCs w:val="18"/>
            <w:u w:val="single"/>
            <w:lang w:eastAsia="ru-RU"/>
          </w:rPr>
          <w:t>подпунктах 13</w:t>
        </w:r>
      </w:hyperlink>
      <w:r w:rsidRPr="004E6919">
        <w:rPr>
          <w:rFonts w:ascii="Tahoma" w:eastAsia="Times New Roman" w:hAnsi="Tahoma" w:cs="Tahoma"/>
          <w:color w:val="333333"/>
          <w:sz w:val="18"/>
          <w:szCs w:val="18"/>
          <w:lang w:eastAsia="ru-RU"/>
        </w:rPr>
        <w:t> и </w:t>
      </w:r>
      <w:hyperlink r:id="rId32" w:anchor="block_3462614" w:history="1">
        <w:r w:rsidRPr="004E6919">
          <w:rPr>
            <w:rFonts w:ascii="Arial" w:eastAsia="Times New Roman" w:hAnsi="Arial" w:cs="Arial"/>
            <w:color w:val="336699"/>
            <w:sz w:val="18"/>
            <w:szCs w:val="18"/>
            <w:u w:val="single"/>
            <w:lang w:eastAsia="ru-RU"/>
          </w:rPr>
          <w:t>14 пункта 2</w:t>
        </w:r>
      </w:hyperlink>
      <w:r w:rsidRPr="004E6919">
        <w:rPr>
          <w:rFonts w:ascii="Tahoma" w:eastAsia="Times New Roman" w:hAnsi="Tahoma" w:cs="Tahoma"/>
          <w:color w:val="333333"/>
          <w:sz w:val="18"/>
          <w:szCs w:val="18"/>
          <w:lang w:eastAsia="ru-RU"/>
        </w:rPr>
        <w:t xml:space="preserve"> настоящей статьи, в части оказания услуг по передаче во временное владение и (или) в пользование автозаправочных станций и </w:t>
      </w:r>
      <w:proofErr w:type="spellStart"/>
      <w:r w:rsidRPr="004E6919">
        <w:rPr>
          <w:rFonts w:ascii="Tahoma" w:eastAsia="Times New Roman" w:hAnsi="Tahoma" w:cs="Tahoma"/>
          <w:color w:val="333333"/>
          <w:sz w:val="18"/>
          <w:szCs w:val="18"/>
          <w:lang w:eastAsia="ru-RU"/>
        </w:rPr>
        <w:t>автогазозаправочных</w:t>
      </w:r>
      <w:proofErr w:type="spellEnd"/>
      <w:r w:rsidRPr="004E6919">
        <w:rPr>
          <w:rFonts w:ascii="Tahoma" w:eastAsia="Times New Roman" w:hAnsi="Tahoma" w:cs="Tahoma"/>
          <w:color w:val="333333"/>
          <w:sz w:val="18"/>
          <w:szCs w:val="18"/>
          <w:lang w:eastAsia="ru-RU"/>
        </w:rPr>
        <w:t xml:space="preserve"> станций.</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2.3. Если по итогам налогового периода у налогоплательщика средняя численность работников превысила 100 человек и (или) им было допущено нарушение требования, установленного </w:t>
      </w:r>
      <w:hyperlink r:id="rId33" w:anchor="block_34626222" w:history="1">
        <w:r w:rsidRPr="004E6919">
          <w:rPr>
            <w:rFonts w:ascii="Arial" w:eastAsia="Times New Roman" w:hAnsi="Arial" w:cs="Arial"/>
            <w:color w:val="336699"/>
            <w:sz w:val="18"/>
            <w:szCs w:val="18"/>
            <w:u w:val="single"/>
            <w:lang w:eastAsia="ru-RU"/>
          </w:rPr>
          <w:t>подпунктом 2 пункта 2.2</w:t>
        </w:r>
      </w:hyperlink>
      <w:r w:rsidRPr="004E6919">
        <w:rPr>
          <w:rFonts w:ascii="Tahoma" w:eastAsia="Times New Roman" w:hAnsi="Tahoma" w:cs="Tahoma"/>
          <w:color w:val="333333"/>
          <w:sz w:val="18"/>
          <w:szCs w:val="18"/>
          <w:lang w:eastAsia="ru-RU"/>
        </w:rPr>
        <w:t> настоящей статьи, и (или) при осуществлении видов предпринимательской деятельности, указанных в </w:t>
      </w:r>
      <w:hyperlink r:id="rId34" w:anchor="block_346266" w:history="1">
        <w:r w:rsidRPr="004E6919">
          <w:rPr>
            <w:rFonts w:ascii="Arial" w:eastAsia="Times New Roman" w:hAnsi="Arial" w:cs="Arial"/>
            <w:color w:val="336699"/>
            <w:sz w:val="18"/>
            <w:szCs w:val="18"/>
            <w:u w:val="single"/>
            <w:lang w:eastAsia="ru-RU"/>
          </w:rPr>
          <w:t>подпунктах 6</w:t>
        </w:r>
      </w:hyperlink>
      <w:r w:rsidRPr="004E6919">
        <w:rPr>
          <w:rFonts w:ascii="Tahoma" w:eastAsia="Times New Roman" w:hAnsi="Tahoma" w:cs="Tahoma"/>
          <w:color w:val="333333"/>
          <w:sz w:val="18"/>
          <w:szCs w:val="18"/>
          <w:lang w:eastAsia="ru-RU"/>
        </w:rPr>
        <w:t> и </w:t>
      </w:r>
      <w:hyperlink r:id="rId35" w:anchor="block_346267" w:history="1">
        <w:r w:rsidRPr="004E6919">
          <w:rPr>
            <w:rFonts w:ascii="Arial" w:eastAsia="Times New Roman" w:hAnsi="Arial" w:cs="Arial"/>
            <w:color w:val="336699"/>
            <w:sz w:val="18"/>
            <w:szCs w:val="18"/>
            <w:u w:val="single"/>
            <w:lang w:eastAsia="ru-RU"/>
          </w:rPr>
          <w:t>7 пункта 2</w:t>
        </w:r>
      </w:hyperlink>
      <w:r w:rsidRPr="004E6919">
        <w:rPr>
          <w:rFonts w:ascii="Tahoma" w:eastAsia="Times New Roman" w:hAnsi="Tahoma" w:cs="Tahoma"/>
          <w:color w:val="333333"/>
          <w:sz w:val="18"/>
          <w:szCs w:val="18"/>
          <w:lang w:eastAsia="ru-RU"/>
        </w:rPr>
        <w:t> настоящей статьи, им была осуществлена реализация товаров, не относящаяся к розничной торговле в соответствии с </w:t>
      </w:r>
      <w:hyperlink r:id="rId36" w:anchor="block_346278" w:history="1">
        <w:r w:rsidRPr="004E6919">
          <w:rPr>
            <w:rFonts w:ascii="Arial" w:eastAsia="Times New Roman" w:hAnsi="Arial" w:cs="Arial"/>
            <w:color w:val="336699"/>
            <w:sz w:val="18"/>
            <w:szCs w:val="18"/>
            <w:u w:val="single"/>
            <w:lang w:eastAsia="ru-RU"/>
          </w:rPr>
          <w:t>абзацем двенадцатым статьи 346.27</w:t>
        </w:r>
      </w:hyperlink>
      <w:r w:rsidRPr="004E6919">
        <w:rPr>
          <w:rFonts w:ascii="Tahoma" w:eastAsia="Times New Roman" w:hAnsi="Tahoma" w:cs="Tahoma"/>
          <w:color w:val="333333"/>
          <w:sz w:val="18"/>
          <w:szCs w:val="18"/>
          <w:lang w:eastAsia="ru-RU"/>
        </w:rPr>
        <w:t> настоящего Кодекса, он считается утратившим право на применение системы налогообложения, установленной настоящей главой, и перешедшим на общий режим налогообложения с начала налогового периода, в котором были допущены нарушения указанных требований.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Абзац второй </w:t>
      </w:r>
      <w:hyperlink r:id="rId37" w:anchor="block_34650227" w:history="1">
        <w:r w:rsidRPr="004E6919">
          <w:rPr>
            <w:rFonts w:ascii="Arial" w:eastAsia="Times New Roman" w:hAnsi="Arial" w:cs="Arial"/>
            <w:color w:val="336699"/>
            <w:sz w:val="18"/>
            <w:szCs w:val="18"/>
            <w:u w:val="single"/>
            <w:lang w:eastAsia="ru-RU"/>
          </w:rPr>
          <w:t>утратил силу</w:t>
        </w:r>
      </w:hyperlink>
      <w:r w:rsidRPr="004E6919">
        <w:rPr>
          <w:rFonts w:ascii="Tahoma" w:eastAsia="Times New Roman" w:hAnsi="Tahoma" w:cs="Tahoma"/>
          <w:color w:val="333333"/>
          <w:sz w:val="18"/>
          <w:szCs w:val="18"/>
          <w:lang w:eastAsia="ru-RU"/>
        </w:rPr>
        <w:t> с 1 января 2013 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3. Нормативными правовыми актами представительных органов муниципальных районов, городских округов, законами городов федерального значения Москвы, Санкт-Петербурга и Севастополя устанавливаются:</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1) </w:t>
      </w:r>
      <w:hyperlink r:id="rId38" w:anchor="block_113023" w:history="1">
        <w:r w:rsidRPr="004E6919">
          <w:rPr>
            <w:rFonts w:ascii="Arial" w:eastAsia="Times New Roman" w:hAnsi="Arial" w:cs="Arial"/>
            <w:color w:val="336699"/>
            <w:sz w:val="18"/>
            <w:szCs w:val="18"/>
            <w:u w:val="single"/>
            <w:lang w:eastAsia="ru-RU"/>
          </w:rPr>
          <w:t>утратил силу</w:t>
        </w:r>
      </w:hyperlink>
      <w:r w:rsidRPr="004E6919">
        <w:rPr>
          <w:rFonts w:ascii="Tahoma" w:eastAsia="Times New Roman" w:hAnsi="Tahoma" w:cs="Tahoma"/>
          <w:color w:val="333333"/>
          <w:sz w:val="18"/>
          <w:szCs w:val="18"/>
          <w:lang w:eastAsia="ru-RU"/>
        </w:rPr>
        <w:t> с 1 января 2006 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2) виды предпринимательской деятельности, в отношении которых вводится единый налог, в пределах перечня, установленного </w:t>
      </w:r>
      <w:hyperlink r:id="rId39" w:anchor="block_1004262" w:history="1">
        <w:r w:rsidRPr="004E6919">
          <w:rPr>
            <w:rFonts w:ascii="Arial" w:eastAsia="Times New Roman" w:hAnsi="Arial" w:cs="Arial"/>
            <w:color w:val="336699"/>
            <w:sz w:val="18"/>
            <w:szCs w:val="18"/>
            <w:u w:val="single"/>
            <w:lang w:eastAsia="ru-RU"/>
          </w:rPr>
          <w:t>пунктом 2</w:t>
        </w:r>
      </w:hyperlink>
      <w:r w:rsidRPr="004E6919">
        <w:rPr>
          <w:rFonts w:ascii="Tahoma" w:eastAsia="Times New Roman" w:hAnsi="Tahoma" w:cs="Tahoma"/>
          <w:color w:val="333333"/>
          <w:sz w:val="18"/>
          <w:szCs w:val="18"/>
          <w:lang w:eastAsia="ru-RU"/>
        </w:rPr>
        <w:t> настоящей статьи.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lastRenderedPageBreak/>
        <w:t>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3) значения коэффициента К_2, указанного в </w:t>
      </w:r>
      <w:hyperlink r:id="rId40" w:anchor="block_346276" w:history="1">
        <w:r w:rsidRPr="004E6919">
          <w:rPr>
            <w:rFonts w:ascii="Arial" w:eastAsia="Times New Roman" w:hAnsi="Arial" w:cs="Arial"/>
            <w:color w:val="336699"/>
            <w:sz w:val="18"/>
            <w:szCs w:val="18"/>
            <w:u w:val="single"/>
            <w:lang w:eastAsia="ru-RU"/>
          </w:rPr>
          <w:t>статье 346.27</w:t>
        </w:r>
      </w:hyperlink>
      <w:r w:rsidRPr="004E6919">
        <w:rPr>
          <w:rFonts w:ascii="Tahoma" w:eastAsia="Times New Roman" w:hAnsi="Tahoma" w:cs="Tahoma"/>
          <w:color w:val="333333"/>
          <w:sz w:val="18"/>
          <w:szCs w:val="18"/>
          <w:lang w:eastAsia="ru-RU"/>
        </w:rPr>
        <w:t> настоящего Кодекса, или значения данного коэффициента, учитывающие особенности ведения предпринимательской деятельности.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4.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за исключением объектов недвижимого имущества, налоговая база по которым определяется как их кадастровая стоимость в соответствии с настоящим </w:t>
      </w:r>
      <w:hyperlink r:id="rId41" w:anchor="block_37820" w:history="1">
        <w:r w:rsidRPr="004E6919">
          <w:rPr>
            <w:rFonts w:ascii="Arial" w:eastAsia="Times New Roman" w:hAnsi="Arial" w:cs="Arial"/>
            <w:color w:val="336699"/>
            <w:sz w:val="18"/>
            <w:szCs w:val="18"/>
            <w:u w:val="single"/>
            <w:lang w:eastAsia="ru-RU"/>
          </w:rPr>
          <w:t>Кодексом</w:t>
        </w:r>
      </w:hyperlink>
      <w:r w:rsidRPr="004E6919">
        <w:rPr>
          <w:rFonts w:ascii="Tahoma" w:eastAsia="Times New Roman" w:hAnsi="Tahoma" w:cs="Tahoma"/>
          <w:color w:val="333333"/>
          <w:sz w:val="18"/>
          <w:szCs w:val="18"/>
          <w:lang w:eastAsia="ru-RU"/>
        </w:rPr>
        <w:t>).</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за исключением объектов налогообложения налогом на имущество физических лиц, включенных в перечень, определяемый в соответствии с </w:t>
      </w:r>
      <w:hyperlink r:id="rId42" w:anchor="block_37827" w:history="1">
        <w:r w:rsidRPr="004E6919">
          <w:rPr>
            <w:rFonts w:ascii="Arial" w:eastAsia="Times New Roman" w:hAnsi="Arial" w:cs="Arial"/>
            <w:color w:val="336699"/>
            <w:sz w:val="18"/>
            <w:szCs w:val="18"/>
            <w:u w:val="single"/>
            <w:lang w:eastAsia="ru-RU"/>
          </w:rPr>
          <w:t>пунктом 7 статьи 378.2</w:t>
        </w:r>
      </w:hyperlink>
      <w:r w:rsidRPr="004E6919">
        <w:rPr>
          <w:rFonts w:ascii="Tahoma" w:eastAsia="Times New Roman" w:hAnsi="Tahoma" w:cs="Tahoma"/>
          <w:color w:val="333333"/>
          <w:sz w:val="18"/>
          <w:szCs w:val="18"/>
          <w:lang w:eastAsia="ru-RU"/>
        </w:rPr>
        <w:t> настоящего Кодекса с учетом особенностей, предусмотренных </w:t>
      </w:r>
      <w:hyperlink r:id="rId43" w:anchor="block_3782102" w:history="1">
        <w:r w:rsidRPr="004E6919">
          <w:rPr>
            <w:rFonts w:ascii="Arial" w:eastAsia="Times New Roman" w:hAnsi="Arial" w:cs="Arial"/>
            <w:color w:val="336699"/>
            <w:sz w:val="18"/>
            <w:szCs w:val="18"/>
            <w:u w:val="single"/>
            <w:lang w:eastAsia="ru-RU"/>
          </w:rPr>
          <w:t>абзацем вторым пункта 10 статьи 378.2</w:t>
        </w:r>
      </w:hyperlink>
      <w:r w:rsidRPr="004E6919">
        <w:rPr>
          <w:rFonts w:ascii="Tahoma" w:eastAsia="Times New Roman" w:hAnsi="Tahoma" w:cs="Tahoma"/>
          <w:color w:val="333333"/>
          <w:sz w:val="18"/>
          <w:szCs w:val="18"/>
          <w:lang w:eastAsia="ru-RU"/>
        </w:rPr>
        <w:t> настоящего Кодекса).</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w:t>
      </w:r>
      <w:hyperlink r:id="rId44" w:anchor="block_20021" w:history="1">
        <w:r w:rsidRPr="004E6919">
          <w:rPr>
            <w:rFonts w:ascii="Arial" w:eastAsia="Times New Roman" w:hAnsi="Arial" w:cs="Arial"/>
            <w:color w:val="336699"/>
            <w:sz w:val="18"/>
            <w:szCs w:val="18"/>
            <w:u w:val="single"/>
            <w:lang w:eastAsia="ru-RU"/>
          </w:rPr>
          <w:t>главой 21</w:t>
        </w:r>
      </w:hyperlink>
      <w:r w:rsidRPr="004E6919">
        <w:rPr>
          <w:rFonts w:ascii="Tahoma" w:eastAsia="Times New Roman" w:hAnsi="Tahoma" w:cs="Tahoma"/>
          <w:color w:val="333333"/>
          <w:sz w:val="18"/>
          <w:szCs w:val="18"/>
          <w:lang w:eastAsia="ru-RU"/>
        </w:rPr>
        <w:t>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w:t>
      </w:r>
      <w:hyperlink r:id="rId45" w:history="1">
        <w:r w:rsidRPr="004E6919">
          <w:rPr>
            <w:rFonts w:ascii="Arial" w:eastAsia="Times New Roman" w:hAnsi="Arial" w:cs="Arial"/>
            <w:color w:val="336699"/>
            <w:sz w:val="18"/>
            <w:szCs w:val="18"/>
            <w:u w:val="single"/>
            <w:lang w:eastAsia="ru-RU"/>
          </w:rPr>
          <w:t>процедуры свободной таможенной зоны</w:t>
        </w:r>
      </w:hyperlink>
      <w:r w:rsidRPr="004E6919">
        <w:rPr>
          <w:rFonts w:ascii="Tahoma" w:eastAsia="Times New Roman" w:hAnsi="Tahoma" w:cs="Tahoma"/>
          <w:color w:val="333333"/>
          <w:sz w:val="18"/>
          <w:szCs w:val="18"/>
          <w:lang w:eastAsia="ru-RU"/>
        </w:rPr>
        <w:t> на территории Особой экономической зоны в Калининградской области, а также налога на добавленную стоимость, уплачиваемого в соответствии со </w:t>
      </w:r>
      <w:hyperlink r:id="rId46" w:anchor="block_161" w:history="1">
        <w:r w:rsidRPr="004E6919">
          <w:rPr>
            <w:rFonts w:ascii="Arial" w:eastAsia="Times New Roman" w:hAnsi="Arial" w:cs="Arial"/>
            <w:color w:val="336699"/>
            <w:sz w:val="18"/>
            <w:szCs w:val="18"/>
            <w:u w:val="single"/>
            <w:lang w:eastAsia="ru-RU"/>
          </w:rPr>
          <w:t>статьями 161</w:t>
        </w:r>
      </w:hyperlink>
      <w:r w:rsidRPr="004E6919">
        <w:rPr>
          <w:rFonts w:ascii="Tahoma" w:eastAsia="Times New Roman" w:hAnsi="Tahoma" w:cs="Tahoma"/>
          <w:color w:val="333333"/>
          <w:sz w:val="18"/>
          <w:szCs w:val="18"/>
          <w:lang w:eastAsia="ru-RU"/>
        </w:rPr>
        <w:t> и </w:t>
      </w:r>
      <w:hyperlink r:id="rId47" w:anchor="block_17410" w:history="1">
        <w:r w:rsidRPr="004E6919">
          <w:rPr>
            <w:rFonts w:ascii="Arial" w:eastAsia="Times New Roman" w:hAnsi="Arial" w:cs="Arial"/>
            <w:color w:val="336699"/>
            <w:sz w:val="18"/>
            <w:szCs w:val="18"/>
            <w:u w:val="single"/>
            <w:lang w:eastAsia="ru-RU"/>
          </w:rPr>
          <w:t>174.1</w:t>
        </w:r>
      </w:hyperlink>
      <w:r w:rsidRPr="004E6919">
        <w:rPr>
          <w:rFonts w:ascii="Tahoma" w:eastAsia="Times New Roman" w:hAnsi="Tahoma" w:cs="Tahoma"/>
          <w:color w:val="333333"/>
          <w:sz w:val="18"/>
          <w:szCs w:val="18"/>
          <w:lang w:eastAsia="ru-RU"/>
        </w:rPr>
        <w:t> настоящего Кодекса.</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Исчисление и уплата иных налогов, сборов и страховых взносов осуществляются налогоплательщиками в соответствии с законодательством Российской Федерации о налогах и сборах.</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Абзац пятый </w:t>
      </w:r>
      <w:hyperlink r:id="rId48" w:anchor="block_241503" w:history="1">
        <w:r w:rsidRPr="004E6919">
          <w:rPr>
            <w:rFonts w:ascii="Arial" w:eastAsia="Times New Roman" w:hAnsi="Arial" w:cs="Arial"/>
            <w:color w:val="336699"/>
            <w:sz w:val="18"/>
            <w:szCs w:val="18"/>
            <w:u w:val="single"/>
            <w:lang w:eastAsia="ru-RU"/>
          </w:rPr>
          <w:t>утратил силу</w:t>
        </w:r>
      </w:hyperlink>
      <w:r w:rsidRPr="004E6919">
        <w:rPr>
          <w:rFonts w:ascii="Tahoma" w:eastAsia="Times New Roman" w:hAnsi="Tahoma" w:cs="Tahoma"/>
          <w:color w:val="333333"/>
          <w:sz w:val="18"/>
          <w:szCs w:val="18"/>
          <w:lang w:eastAsia="ru-RU"/>
        </w:rPr>
        <w:t> с 1 января 2010 г.</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5. 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6. 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7.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w:t>
      </w:r>
    </w:p>
    <w:p w:rsidR="004E6919" w:rsidRPr="004E6919" w:rsidRDefault="004E6919" w:rsidP="004E6919">
      <w:pPr>
        <w:spacing w:after="0" w:line="240" w:lineRule="auto"/>
        <w:ind w:firstLine="720"/>
        <w:rPr>
          <w:rFonts w:ascii="Tahoma" w:eastAsia="Times New Roman" w:hAnsi="Tahoma" w:cs="Tahoma"/>
          <w:color w:val="333333"/>
          <w:sz w:val="18"/>
          <w:szCs w:val="18"/>
          <w:lang w:eastAsia="ru-RU"/>
        </w:rPr>
      </w:pPr>
      <w:r w:rsidRPr="004E6919">
        <w:rPr>
          <w:rFonts w:ascii="Tahoma" w:eastAsia="Times New Roman" w:hAnsi="Tahoma" w:cs="Tahoma"/>
          <w:color w:val="333333"/>
          <w:sz w:val="18"/>
          <w:szCs w:val="18"/>
          <w:lang w:eastAsia="ru-RU"/>
        </w:rPr>
        <w:t>8. 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единого налога, подлежат вычету в последнем </w:t>
      </w:r>
      <w:hyperlink r:id="rId49" w:anchor="block_163" w:history="1">
        <w:r w:rsidRPr="004E6919">
          <w:rPr>
            <w:rFonts w:ascii="Arial" w:eastAsia="Times New Roman" w:hAnsi="Arial" w:cs="Arial"/>
            <w:color w:val="336699"/>
            <w:sz w:val="18"/>
            <w:szCs w:val="18"/>
            <w:u w:val="single"/>
            <w:lang w:eastAsia="ru-RU"/>
          </w:rPr>
          <w:t>налоговом периоде</w:t>
        </w:r>
      </w:hyperlink>
      <w:r w:rsidRPr="004E6919">
        <w:rPr>
          <w:rFonts w:ascii="Tahoma" w:eastAsia="Times New Roman" w:hAnsi="Tahoma" w:cs="Tahoma"/>
          <w:color w:val="333333"/>
          <w:sz w:val="18"/>
          <w:szCs w:val="18"/>
          <w:lang w:eastAsia="ru-RU"/>
        </w:rPr>
        <w:t>,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w:t>
      </w:r>
    </w:p>
    <w:p w:rsidR="006A1606" w:rsidRDefault="004E6919" w:rsidP="004E6919">
      <w:r w:rsidRPr="004E6919">
        <w:rPr>
          <w:rFonts w:ascii="Tahoma" w:eastAsia="Times New Roman" w:hAnsi="Tahoma" w:cs="Tahoma"/>
          <w:color w:val="333333"/>
          <w:sz w:val="18"/>
          <w:szCs w:val="18"/>
          <w:lang w:eastAsia="ru-RU"/>
        </w:rPr>
        <w:t>9. 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w:t>
      </w:r>
      <w:hyperlink r:id="rId50" w:anchor="block_172" w:history="1">
        <w:r w:rsidRPr="004E6919">
          <w:rPr>
            <w:rFonts w:ascii="Arial" w:eastAsia="Times New Roman" w:hAnsi="Arial" w:cs="Arial"/>
            <w:color w:val="336699"/>
            <w:sz w:val="18"/>
            <w:szCs w:val="18"/>
            <w:u w:val="single"/>
            <w:lang w:eastAsia="ru-RU"/>
          </w:rPr>
          <w:t>главой 21</w:t>
        </w:r>
      </w:hyperlink>
      <w:r w:rsidRPr="004E6919">
        <w:rPr>
          <w:rFonts w:ascii="Tahoma" w:eastAsia="Times New Roman" w:hAnsi="Tahoma" w:cs="Tahoma"/>
          <w:color w:val="333333"/>
          <w:sz w:val="18"/>
          <w:szCs w:val="18"/>
          <w:lang w:eastAsia="ru-RU"/>
        </w:rPr>
        <w:t> настоящего Кодекса для налогоплательщиков налога на добавленную стоимость.</w:t>
      </w:r>
    </w:p>
    <w:sectPr w:rsidR="006A1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19"/>
    <w:rsid w:val="004E6919"/>
    <w:rsid w:val="006A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B6BB"/>
  <w15:chartTrackingRefBased/>
  <w15:docId w15:val="{44AE2B71-2B88-4E75-89BB-93703E04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6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919"/>
    <w:rPr>
      <w:rFonts w:ascii="Times New Roman" w:eastAsia="Times New Roman" w:hAnsi="Times New Roman" w:cs="Times New Roman"/>
      <w:b/>
      <w:bCs/>
      <w:kern w:val="36"/>
      <w:sz w:val="48"/>
      <w:szCs w:val="48"/>
      <w:lang w:eastAsia="ru-RU"/>
    </w:rPr>
  </w:style>
  <w:style w:type="paragraph" w:customStyle="1" w:styleId="s15">
    <w:name w:val="s_15"/>
    <w:basedOn w:val="a"/>
    <w:rsid w:val="004E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E6919"/>
  </w:style>
  <w:style w:type="paragraph" w:customStyle="1" w:styleId="s1">
    <w:name w:val="s_1"/>
    <w:basedOn w:val="a"/>
    <w:rsid w:val="004E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6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2330">
      <w:bodyDiv w:val="1"/>
      <w:marLeft w:val="0"/>
      <w:marRight w:val="0"/>
      <w:marTop w:val="0"/>
      <w:marBottom w:val="0"/>
      <w:divBdr>
        <w:top w:val="none" w:sz="0" w:space="0" w:color="auto"/>
        <w:left w:val="none" w:sz="0" w:space="0" w:color="auto"/>
        <w:bottom w:val="none" w:sz="0" w:space="0" w:color="auto"/>
        <w:right w:val="none" w:sz="0" w:space="0" w:color="auto"/>
      </w:divBdr>
      <w:divsChild>
        <w:div w:id="85538116">
          <w:marLeft w:val="0"/>
          <w:marRight w:val="0"/>
          <w:marTop w:val="0"/>
          <w:marBottom w:val="0"/>
          <w:divBdr>
            <w:top w:val="none" w:sz="0" w:space="0" w:color="auto"/>
            <w:left w:val="none" w:sz="0" w:space="0" w:color="auto"/>
            <w:bottom w:val="none" w:sz="0" w:space="0" w:color="auto"/>
            <w:right w:val="none" w:sz="0" w:space="0" w:color="auto"/>
          </w:divBdr>
        </w:div>
        <w:div w:id="137888418">
          <w:marLeft w:val="0"/>
          <w:marRight w:val="0"/>
          <w:marTop w:val="0"/>
          <w:marBottom w:val="0"/>
          <w:divBdr>
            <w:top w:val="none" w:sz="0" w:space="0" w:color="auto"/>
            <w:left w:val="none" w:sz="0" w:space="0" w:color="auto"/>
            <w:bottom w:val="none" w:sz="0" w:space="0" w:color="auto"/>
            <w:right w:val="none" w:sz="0" w:space="0" w:color="auto"/>
          </w:divBdr>
        </w:div>
        <w:div w:id="157892815">
          <w:marLeft w:val="0"/>
          <w:marRight w:val="0"/>
          <w:marTop w:val="0"/>
          <w:marBottom w:val="0"/>
          <w:divBdr>
            <w:top w:val="none" w:sz="0" w:space="0" w:color="auto"/>
            <w:left w:val="none" w:sz="0" w:space="0" w:color="auto"/>
            <w:bottom w:val="none" w:sz="0" w:space="0" w:color="auto"/>
            <w:right w:val="none" w:sz="0" w:space="0" w:color="auto"/>
          </w:divBdr>
        </w:div>
        <w:div w:id="1355497852">
          <w:marLeft w:val="0"/>
          <w:marRight w:val="0"/>
          <w:marTop w:val="0"/>
          <w:marBottom w:val="0"/>
          <w:divBdr>
            <w:top w:val="none" w:sz="0" w:space="0" w:color="auto"/>
            <w:left w:val="none" w:sz="0" w:space="0" w:color="auto"/>
            <w:bottom w:val="none" w:sz="0" w:space="0" w:color="auto"/>
            <w:right w:val="none" w:sz="0" w:space="0" w:color="auto"/>
          </w:divBdr>
          <w:divsChild>
            <w:div w:id="1503736312">
              <w:marLeft w:val="0"/>
              <w:marRight w:val="0"/>
              <w:marTop w:val="0"/>
              <w:marBottom w:val="0"/>
              <w:divBdr>
                <w:top w:val="none" w:sz="0" w:space="0" w:color="auto"/>
                <w:left w:val="none" w:sz="0" w:space="0" w:color="auto"/>
                <w:bottom w:val="none" w:sz="0" w:space="0" w:color="auto"/>
                <w:right w:val="none" w:sz="0" w:space="0" w:color="auto"/>
              </w:divBdr>
            </w:div>
            <w:div w:id="102648640">
              <w:marLeft w:val="0"/>
              <w:marRight w:val="0"/>
              <w:marTop w:val="0"/>
              <w:marBottom w:val="0"/>
              <w:divBdr>
                <w:top w:val="none" w:sz="0" w:space="0" w:color="auto"/>
                <w:left w:val="none" w:sz="0" w:space="0" w:color="auto"/>
                <w:bottom w:val="none" w:sz="0" w:space="0" w:color="auto"/>
                <w:right w:val="none" w:sz="0" w:space="0" w:color="auto"/>
              </w:divBdr>
            </w:div>
            <w:div w:id="29452843">
              <w:marLeft w:val="0"/>
              <w:marRight w:val="0"/>
              <w:marTop w:val="0"/>
              <w:marBottom w:val="0"/>
              <w:divBdr>
                <w:top w:val="none" w:sz="0" w:space="0" w:color="auto"/>
                <w:left w:val="none" w:sz="0" w:space="0" w:color="auto"/>
                <w:bottom w:val="none" w:sz="0" w:space="0" w:color="auto"/>
                <w:right w:val="none" w:sz="0" w:space="0" w:color="auto"/>
              </w:divBdr>
            </w:div>
            <w:div w:id="777334248">
              <w:marLeft w:val="0"/>
              <w:marRight w:val="0"/>
              <w:marTop w:val="0"/>
              <w:marBottom w:val="0"/>
              <w:divBdr>
                <w:top w:val="none" w:sz="0" w:space="0" w:color="auto"/>
                <w:left w:val="none" w:sz="0" w:space="0" w:color="auto"/>
                <w:bottom w:val="none" w:sz="0" w:space="0" w:color="auto"/>
                <w:right w:val="none" w:sz="0" w:space="0" w:color="auto"/>
              </w:divBdr>
            </w:div>
            <w:div w:id="1071853220">
              <w:marLeft w:val="0"/>
              <w:marRight w:val="0"/>
              <w:marTop w:val="0"/>
              <w:marBottom w:val="0"/>
              <w:divBdr>
                <w:top w:val="none" w:sz="0" w:space="0" w:color="auto"/>
                <w:left w:val="none" w:sz="0" w:space="0" w:color="auto"/>
                <w:bottom w:val="none" w:sz="0" w:space="0" w:color="auto"/>
                <w:right w:val="none" w:sz="0" w:space="0" w:color="auto"/>
              </w:divBdr>
            </w:div>
            <w:div w:id="1400400486">
              <w:marLeft w:val="0"/>
              <w:marRight w:val="0"/>
              <w:marTop w:val="0"/>
              <w:marBottom w:val="0"/>
              <w:divBdr>
                <w:top w:val="none" w:sz="0" w:space="0" w:color="auto"/>
                <w:left w:val="none" w:sz="0" w:space="0" w:color="auto"/>
                <w:bottom w:val="none" w:sz="0" w:space="0" w:color="auto"/>
                <w:right w:val="none" w:sz="0" w:space="0" w:color="auto"/>
              </w:divBdr>
            </w:div>
            <w:div w:id="2129229711">
              <w:marLeft w:val="0"/>
              <w:marRight w:val="0"/>
              <w:marTop w:val="0"/>
              <w:marBottom w:val="0"/>
              <w:divBdr>
                <w:top w:val="none" w:sz="0" w:space="0" w:color="auto"/>
                <w:left w:val="none" w:sz="0" w:space="0" w:color="auto"/>
                <w:bottom w:val="none" w:sz="0" w:space="0" w:color="auto"/>
                <w:right w:val="none" w:sz="0" w:space="0" w:color="auto"/>
              </w:divBdr>
            </w:div>
            <w:div w:id="1185292222">
              <w:marLeft w:val="0"/>
              <w:marRight w:val="0"/>
              <w:marTop w:val="0"/>
              <w:marBottom w:val="0"/>
              <w:divBdr>
                <w:top w:val="none" w:sz="0" w:space="0" w:color="auto"/>
                <w:left w:val="none" w:sz="0" w:space="0" w:color="auto"/>
                <w:bottom w:val="none" w:sz="0" w:space="0" w:color="auto"/>
                <w:right w:val="none" w:sz="0" w:space="0" w:color="auto"/>
              </w:divBdr>
            </w:div>
            <w:div w:id="1423141636">
              <w:marLeft w:val="0"/>
              <w:marRight w:val="0"/>
              <w:marTop w:val="0"/>
              <w:marBottom w:val="0"/>
              <w:divBdr>
                <w:top w:val="none" w:sz="0" w:space="0" w:color="auto"/>
                <w:left w:val="none" w:sz="0" w:space="0" w:color="auto"/>
                <w:bottom w:val="none" w:sz="0" w:space="0" w:color="auto"/>
                <w:right w:val="none" w:sz="0" w:space="0" w:color="auto"/>
              </w:divBdr>
            </w:div>
            <w:div w:id="245189809">
              <w:marLeft w:val="0"/>
              <w:marRight w:val="0"/>
              <w:marTop w:val="0"/>
              <w:marBottom w:val="0"/>
              <w:divBdr>
                <w:top w:val="none" w:sz="0" w:space="0" w:color="auto"/>
                <w:left w:val="none" w:sz="0" w:space="0" w:color="auto"/>
                <w:bottom w:val="none" w:sz="0" w:space="0" w:color="auto"/>
                <w:right w:val="none" w:sz="0" w:space="0" w:color="auto"/>
              </w:divBdr>
            </w:div>
          </w:divsChild>
        </w:div>
        <w:div w:id="1318336148">
          <w:marLeft w:val="0"/>
          <w:marRight w:val="0"/>
          <w:marTop w:val="0"/>
          <w:marBottom w:val="0"/>
          <w:divBdr>
            <w:top w:val="none" w:sz="0" w:space="0" w:color="auto"/>
            <w:left w:val="none" w:sz="0" w:space="0" w:color="auto"/>
            <w:bottom w:val="none" w:sz="0" w:space="0" w:color="auto"/>
            <w:right w:val="none" w:sz="0" w:space="0" w:color="auto"/>
          </w:divBdr>
        </w:div>
        <w:div w:id="1505782926">
          <w:marLeft w:val="0"/>
          <w:marRight w:val="0"/>
          <w:marTop w:val="0"/>
          <w:marBottom w:val="0"/>
          <w:divBdr>
            <w:top w:val="none" w:sz="0" w:space="0" w:color="auto"/>
            <w:left w:val="none" w:sz="0" w:space="0" w:color="auto"/>
            <w:bottom w:val="none" w:sz="0" w:space="0" w:color="auto"/>
            <w:right w:val="none" w:sz="0" w:space="0" w:color="auto"/>
          </w:divBdr>
          <w:divsChild>
            <w:div w:id="1574702417">
              <w:marLeft w:val="0"/>
              <w:marRight w:val="0"/>
              <w:marTop w:val="0"/>
              <w:marBottom w:val="0"/>
              <w:divBdr>
                <w:top w:val="none" w:sz="0" w:space="0" w:color="auto"/>
                <w:left w:val="none" w:sz="0" w:space="0" w:color="auto"/>
                <w:bottom w:val="none" w:sz="0" w:space="0" w:color="auto"/>
                <w:right w:val="none" w:sz="0" w:space="0" w:color="auto"/>
              </w:divBdr>
            </w:div>
          </w:divsChild>
        </w:div>
        <w:div w:id="416709558">
          <w:marLeft w:val="0"/>
          <w:marRight w:val="0"/>
          <w:marTop w:val="0"/>
          <w:marBottom w:val="0"/>
          <w:divBdr>
            <w:top w:val="none" w:sz="0" w:space="0" w:color="auto"/>
            <w:left w:val="none" w:sz="0" w:space="0" w:color="auto"/>
            <w:bottom w:val="none" w:sz="0" w:space="0" w:color="auto"/>
            <w:right w:val="none" w:sz="0" w:space="0" w:color="auto"/>
          </w:divBdr>
        </w:div>
        <w:div w:id="470951474">
          <w:marLeft w:val="0"/>
          <w:marRight w:val="0"/>
          <w:marTop w:val="0"/>
          <w:marBottom w:val="0"/>
          <w:divBdr>
            <w:top w:val="none" w:sz="0" w:space="0" w:color="auto"/>
            <w:left w:val="none" w:sz="0" w:space="0" w:color="auto"/>
            <w:bottom w:val="none" w:sz="0" w:space="0" w:color="auto"/>
            <w:right w:val="none" w:sz="0" w:space="0" w:color="auto"/>
          </w:divBdr>
        </w:div>
        <w:div w:id="1489591575">
          <w:marLeft w:val="0"/>
          <w:marRight w:val="0"/>
          <w:marTop w:val="0"/>
          <w:marBottom w:val="0"/>
          <w:divBdr>
            <w:top w:val="none" w:sz="0" w:space="0" w:color="auto"/>
            <w:left w:val="none" w:sz="0" w:space="0" w:color="auto"/>
            <w:bottom w:val="none" w:sz="0" w:space="0" w:color="auto"/>
            <w:right w:val="none" w:sz="0" w:space="0" w:color="auto"/>
          </w:divBdr>
        </w:div>
        <w:div w:id="1532717574">
          <w:marLeft w:val="0"/>
          <w:marRight w:val="0"/>
          <w:marTop w:val="0"/>
          <w:marBottom w:val="0"/>
          <w:divBdr>
            <w:top w:val="none" w:sz="0" w:space="0" w:color="auto"/>
            <w:left w:val="none" w:sz="0" w:space="0" w:color="auto"/>
            <w:bottom w:val="none" w:sz="0" w:space="0" w:color="auto"/>
            <w:right w:val="none" w:sz="0" w:space="0" w:color="auto"/>
          </w:divBdr>
        </w:div>
        <w:div w:id="2105686745">
          <w:marLeft w:val="0"/>
          <w:marRight w:val="0"/>
          <w:marTop w:val="0"/>
          <w:marBottom w:val="0"/>
          <w:divBdr>
            <w:top w:val="none" w:sz="0" w:space="0" w:color="auto"/>
            <w:left w:val="none" w:sz="0" w:space="0" w:color="auto"/>
            <w:bottom w:val="none" w:sz="0" w:space="0" w:color="auto"/>
            <w:right w:val="none" w:sz="0" w:space="0" w:color="auto"/>
          </w:divBdr>
        </w:div>
        <w:div w:id="605774670">
          <w:marLeft w:val="0"/>
          <w:marRight w:val="0"/>
          <w:marTop w:val="0"/>
          <w:marBottom w:val="0"/>
          <w:divBdr>
            <w:top w:val="none" w:sz="0" w:space="0" w:color="auto"/>
            <w:left w:val="none" w:sz="0" w:space="0" w:color="auto"/>
            <w:bottom w:val="none" w:sz="0" w:space="0" w:color="auto"/>
            <w:right w:val="none" w:sz="0" w:space="0" w:color="auto"/>
          </w:divBdr>
        </w:div>
        <w:div w:id="1196576493">
          <w:marLeft w:val="0"/>
          <w:marRight w:val="0"/>
          <w:marTop w:val="0"/>
          <w:marBottom w:val="0"/>
          <w:divBdr>
            <w:top w:val="none" w:sz="0" w:space="0" w:color="auto"/>
            <w:left w:val="none" w:sz="0" w:space="0" w:color="auto"/>
            <w:bottom w:val="none" w:sz="0" w:space="0" w:color="auto"/>
            <w:right w:val="none" w:sz="0" w:space="0" w:color="auto"/>
          </w:divBdr>
        </w:div>
        <w:div w:id="1825201014">
          <w:marLeft w:val="0"/>
          <w:marRight w:val="0"/>
          <w:marTop w:val="0"/>
          <w:marBottom w:val="0"/>
          <w:divBdr>
            <w:top w:val="none" w:sz="0" w:space="0" w:color="auto"/>
            <w:left w:val="none" w:sz="0" w:space="0" w:color="auto"/>
            <w:bottom w:val="none" w:sz="0" w:space="0" w:color="auto"/>
            <w:right w:val="none" w:sz="0" w:space="0" w:color="auto"/>
          </w:divBdr>
        </w:div>
        <w:div w:id="1914659011">
          <w:marLeft w:val="0"/>
          <w:marRight w:val="0"/>
          <w:marTop w:val="0"/>
          <w:marBottom w:val="0"/>
          <w:divBdr>
            <w:top w:val="none" w:sz="0" w:space="0" w:color="auto"/>
            <w:left w:val="none" w:sz="0" w:space="0" w:color="auto"/>
            <w:bottom w:val="none" w:sz="0" w:space="0" w:color="auto"/>
            <w:right w:val="none" w:sz="0" w:space="0" w:color="auto"/>
          </w:divBdr>
        </w:div>
        <w:div w:id="897202242">
          <w:marLeft w:val="0"/>
          <w:marRight w:val="0"/>
          <w:marTop w:val="0"/>
          <w:marBottom w:val="0"/>
          <w:divBdr>
            <w:top w:val="none" w:sz="0" w:space="0" w:color="auto"/>
            <w:left w:val="none" w:sz="0" w:space="0" w:color="auto"/>
            <w:bottom w:val="none" w:sz="0" w:space="0" w:color="auto"/>
            <w:right w:val="none" w:sz="0" w:space="0" w:color="auto"/>
          </w:divBdr>
        </w:div>
        <w:div w:id="1115170932">
          <w:marLeft w:val="0"/>
          <w:marRight w:val="0"/>
          <w:marTop w:val="0"/>
          <w:marBottom w:val="0"/>
          <w:divBdr>
            <w:top w:val="none" w:sz="0" w:space="0" w:color="auto"/>
            <w:left w:val="none" w:sz="0" w:space="0" w:color="auto"/>
            <w:bottom w:val="none" w:sz="0" w:space="0" w:color="auto"/>
            <w:right w:val="none" w:sz="0" w:space="0" w:color="auto"/>
          </w:divBdr>
        </w:div>
        <w:div w:id="204474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log.garant.ru/fns/nk/a936bc0c2e7653efdcee86b210af4471/" TargetMode="External"/><Relationship Id="rId18" Type="http://schemas.openxmlformats.org/officeDocument/2006/relationships/hyperlink" Target="http://nalog.garant.ru/fns/nk/a936bc0c2e7653efdcee86b210af4471/" TargetMode="External"/><Relationship Id="rId26" Type="http://schemas.openxmlformats.org/officeDocument/2006/relationships/hyperlink" Target="http://base.garant.ru/10105423/" TargetMode="External"/><Relationship Id="rId39" Type="http://schemas.openxmlformats.org/officeDocument/2006/relationships/hyperlink" Target="http://nalog.garant.ru/fns/nk/8045f96675a46e450a56337fe2292827/" TargetMode="External"/><Relationship Id="rId21" Type="http://schemas.openxmlformats.org/officeDocument/2006/relationships/hyperlink" Target="http://nalog.garant.ru/fns/nk/9d89ba6e3e633b0dac1a8caf5a5a81d3/" TargetMode="External"/><Relationship Id="rId34" Type="http://schemas.openxmlformats.org/officeDocument/2006/relationships/hyperlink" Target="http://nalog.garant.ru/fns/nk/8045f96675a46e450a56337fe2292827/" TargetMode="External"/><Relationship Id="rId42" Type="http://schemas.openxmlformats.org/officeDocument/2006/relationships/hyperlink" Target="http://nalog.garant.ru/fns/nk/646882137a6a76f226bdfaff58df1005/" TargetMode="External"/><Relationship Id="rId47" Type="http://schemas.openxmlformats.org/officeDocument/2006/relationships/hyperlink" Target="http://nalog.garant.ru/fns/nk/08d354bd4142992f367f21216deec0bf/" TargetMode="External"/><Relationship Id="rId50" Type="http://schemas.openxmlformats.org/officeDocument/2006/relationships/hyperlink" Target="http://nalog.garant.ru/fns/nk/2a25888d00a675bffc9a0311e7651563/" TargetMode="External"/><Relationship Id="rId7" Type="http://schemas.openxmlformats.org/officeDocument/2006/relationships/hyperlink" Target="http://base.garant.ru/71548248/53f89421bbdaf741eb2d1ecc4ddb4c33/" TargetMode="External"/><Relationship Id="rId2" Type="http://schemas.openxmlformats.org/officeDocument/2006/relationships/settings" Target="settings.xml"/><Relationship Id="rId16" Type="http://schemas.openxmlformats.org/officeDocument/2006/relationships/hyperlink" Target="http://nalog.garant.ru/fns/nk/a936bc0c2e7653efdcee86b210af4471/" TargetMode="External"/><Relationship Id="rId29" Type="http://schemas.openxmlformats.org/officeDocument/2006/relationships/hyperlink" Target="http://base.garant.ru/70192790/741609f9002bd54a24e5c49cb5af953b/" TargetMode="External"/><Relationship Id="rId11" Type="http://schemas.openxmlformats.org/officeDocument/2006/relationships/hyperlink" Target="http://nalog.garant.ru/fns/nk/a936bc0c2e7653efdcee86b210af4471/" TargetMode="External"/><Relationship Id="rId24" Type="http://schemas.openxmlformats.org/officeDocument/2006/relationships/hyperlink" Target="http://nalog.garant.ru/fns/nk/799227b78d40d5a23b80e35ebae54180/" TargetMode="External"/><Relationship Id="rId32" Type="http://schemas.openxmlformats.org/officeDocument/2006/relationships/hyperlink" Target="http://nalog.garant.ru/fns/nk/8045f96675a46e450a56337fe2292827/" TargetMode="External"/><Relationship Id="rId37" Type="http://schemas.openxmlformats.org/officeDocument/2006/relationships/hyperlink" Target="http://base.garant.ru/70192790/741609f9002bd54a24e5c49cb5af953b/" TargetMode="External"/><Relationship Id="rId40" Type="http://schemas.openxmlformats.org/officeDocument/2006/relationships/hyperlink" Target="http://nalog.garant.ru/fns/nk/a936bc0c2e7653efdcee86b210af4471/" TargetMode="External"/><Relationship Id="rId45" Type="http://schemas.openxmlformats.org/officeDocument/2006/relationships/hyperlink" Target="http://base.garant.ru/12177099/" TargetMode="External"/><Relationship Id="rId5" Type="http://schemas.openxmlformats.org/officeDocument/2006/relationships/hyperlink" Target="http://base.garant.ru/70111904/" TargetMode="External"/><Relationship Id="rId15" Type="http://schemas.openxmlformats.org/officeDocument/2006/relationships/hyperlink" Target="http://nalog.garant.ru/fns/nk/a936bc0c2e7653efdcee86b210af4471/" TargetMode="External"/><Relationship Id="rId23" Type="http://schemas.openxmlformats.org/officeDocument/2006/relationships/hyperlink" Target="http://nalog.garant.ru/fns/nk/8045f96675a46e450a56337fe2292827/" TargetMode="External"/><Relationship Id="rId28" Type="http://schemas.openxmlformats.org/officeDocument/2006/relationships/hyperlink" Target="http://base.garant.ru/10105423/" TargetMode="External"/><Relationship Id="rId36" Type="http://schemas.openxmlformats.org/officeDocument/2006/relationships/hyperlink" Target="http://nalog.garant.ru/fns/nk/a936bc0c2e7653efdcee86b210af4471/" TargetMode="External"/><Relationship Id="rId49" Type="http://schemas.openxmlformats.org/officeDocument/2006/relationships/hyperlink" Target="http://nalog.garant.ru/fns/nk/fd48c16b8ae230bb1d80816968537bd9/" TargetMode="External"/><Relationship Id="rId10" Type="http://schemas.openxmlformats.org/officeDocument/2006/relationships/hyperlink" Target="http://base.garant.ru/70650730/" TargetMode="External"/><Relationship Id="rId19" Type="http://schemas.openxmlformats.org/officeDocument/2006/relationships/hyperlink" Target="http://base.garant.ru/12165398/" TargetMode="External"/><Relationship Id="rId31" Type="http://schemas.openxmlformats.org/officeDocument/2006/relationships/hyperlink" Target="http://nalog.garant.ru/fns/nk/8045f96675a46e450a56337fe2292827/" TargetMode="External"/><Relationship Id="rId44" Type="http://schemas.openxmlformats.org/officeDocument/2006/relationships/hyperlink" Target="http://nalog.garant.ru/fns/nk/ec7cc4fdc985caebec887eb34c5c1ee9/" TargetMode="External"/><Relationship Id="rId52" Type="http://schemas.openxmlformats.org/officeDocument/2006/relationships/theme" Target="theme/theme1.xml"/><Relationship Id="rId4" Type="http://schemas.openxmlformats.org/officeDocument/2006/relationships/hyperlink" Target="http://base.garant.ru/70236640/" TargetMode="External"/><Relationship Id="rId9" Type="http://schemas.openxmlformats.org/officeDocument/2006/relationships/hyperlink" Target="http://base.garant.ru/71548248/f7ee959fd36b5699076b35abf4f52c5c/" TargetMode="External"/><Relationship Id="rId14" Type="http://schemas.openxmlformats.org/officeDocument/2006/relationships/hyperlink" Target="http://base.garant.ru/12141172/1cafb24d049dcd1e7707a22d98e9858f/" TargetMode="External"/><Relationship Id="rId22" Type="http://schemas.openxmlformats.org/officeDocument/2006/relationships/hyperlink" Target="http://nalog.garant.ru/fns/nk/5e84ff713e44b8f80dbe61f9ce73d311/" TargetMode="External"/><Relationship Id="rId27" Type="http://schemas.openxmlformats.org/officeDocument/2006/relationships/hyperlink" Target="http://base.garant.ru/10105423/" TargetMode="External"/><Relationship Id="rId30" Type="http://schemas.openxmlformats.org/officeDocument/2006/relationships/hyperlink" Target="http://nalog.garant.ru/fns/nk/8045f96675a46e450a56337fe2292827/" TargetMode="External"/><Relationship Id="rId35" Type="http://schemas.openxmlformats.org/officeDocument/2006/relationships/hyperlink" Target="http://nalog.garant.ru/fns/nk/8045f96675a46e450a56337fe2292827/" TargetMode="External"/><Relationship Id="rId43" Type="http://schemas.openxmlformats.org/officeDocument/2006/relationships/hyperlink" Target="http://nalog.garant.ru/fns/nk/646882137a6a76f226bdfaff58df1005/" TargetMode="External"/><Relationship Id="rId48" Type="http://schemas.openxmlformats.org/officeDocument/2006/relationships/hyperlink" Target="http://base.garant.ru/12168560/7b14d2c2dfc862f67bd2c3471bf87b3f/" TargetMode="External"/><Relationship Id="rId8" Type="http://schemas.openxmlformats.org/officeDocument/2006/relationships/hyperlink" Target="http://base.garant.ru/70650726/"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nalog.garant.ru/fns/nk/a936bc0c2e7653efdcee86b210af4471/" TargetMode="External"/><Relationship Id="rId17" Type="http://schemas.openxmlformats.org/officeDocument/2006/relationships/hyperlink" Target="http://nalog.garant.ru/fns/nk/a936bc0c2e7653efdcee86b210af4471/" TargetMode="External"/><Relationship Id="rId25" Type="http://schemas.openxmlformats.org/officeDocument/2006/relationships/hyperlink" Target="http://base.garant.ru/73088246/" TargetMode="External"/><Relationship Id="rId33" Type="http://schemas.openxmlformats.org/officeDocument/2006/relationships/hyperlink" Target="http://nalog.garant.ru/fns/nk/8045f96675a46e450a56337fe2292827/" TargetMode="External"/><Relationship Id="rId38" Type="http://schemas.openxmlformats.org/officeDocument/2006/relationships/hyperlink" Target="http://base.garant.ru/12141172/1cafb24d049dcd1e7707a22d98e9858f/" TargetMode="External"/><Relationship Id="rId46" Type="http://schemas.openxmlformats.org/officeDocument/2006/relationships/hyperlink" Target="http://nalog.garant.ru/fns/nk/4937220ae6cef91cd7865edfe9b471d0/" TargetMode="External"/><Relationship Id="rId20" Type="http://schemas.openxmlformats.org/officeDocument/2006/relationships/hyperlink" Target="http://nalog.garant.ru/fns/nk/8045f96675a46e450a56337fe2292827/" TargetMode="External"/><Relationship Id="rId41" Type="http://schemas.openxmlformats.org/officeDocument/2006/relationships/hyperlink" Target="http://nalog.garant.ru/fns/nk/646882137a6a76f226bdfaff58df1005/" TargetMode="External"/><Relationship Id="rId1" Type="http://schemas.openxmlformats.org/officeDocument/2006/relationships/styles" Target="styles.xml"/><Relationship Id="rId6" Type="http://schemas.openxmlformats.org/officeDocument/2006/relationships/hyperlink" Target="http://base.garant.ru/12169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2947</Words>
  <Characters>16798</Characters>
  <Application>Microsoft Office Word</Application>
  <DocSecurity>0</DocSecurity>
  <Lines>139</Lines>
  <Paragraphs>39</Paragraphs>
  <ScaleCrop>false</ScaleCrop>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Martynov_VV</dc:creator>
  <cp:keywords/>
  <dc:description/>
  <cp:lastModifiedBy>Martynov_VV</cp:lastModifiedBy>
  <cp:revision>1</cp:revision>
  <dcterms:created xsi:type="dcterms:W3CDTF">2020-01-29T07:07:00Z</dcterms:created>
  <dcterms:modified xsi:type="dcterms:W3CDTF">2020-01-29T07:08:00Z</dcterms:modified>
</cp:coreProperties>
</file>